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89</w:t>
      </w:r>
    </w:p>
    <w:p>
      <w:r>
        <w:t>Bundesgericht (BGE), 1994-05-06, IT</w:t>
      </w:r>
    </w:p>
    <w:p>
      <w:r>
        <w:rPr>
          <w:b/>
        </w:rPr>
        <w:t xml:space="preserve">Quelle: </w:t>
      </w:r>
      <w:r>
        <w:t>https://mcp.opencaselaw.ch/entscheid/bge_120 III 89</w:t>
      </w:r>
    </w:p>
    <w:p>
      <w:r>
        <w:t>FR: ATF 120 III 89</w:t>
      </w:r>
    </w:p>
    <w:p>
      <w:r>
        <w:t>IT: DTF 120 III 89</w:t>
      </w:r>
    </w:p>
    <w:p>
      <w:pPr>
        <w:pStyle w:val="Heading2"/>
      </w:pPr>
      <w:r>
        <w:t>Regeste</w:t>
      </w:r>
    </w:p>
    <w:p>
      <w:r>
        <w:t>Regeste Art. 277 SchKG; Entlassung von Arrestgegenständen aus dem Arrestbeschlag nach Sicherheitsleistung. Das Gesuch um Entlassung der Arrestgegenstände aus dem Arrestbeschlag kann nicht mehr gestellt werden, nachdem im nachfolgenden Arrestprosequierungsverfahren die Pfändung vollzogen worden ist.</w:t>
      </w:r>
    </w:p>
    <w:p>
      <w:pPr>
        <w:pStyle w:val="Heading2"/>
      </w:pPr>
      <w:r>
        <w:t>Erwägungen</w:t>
      </w:r>
    </w:p>
    <w:p>
      <w:r>
        <w:rPr>
          <w:b/>
        </w:rPr>
        <w:t>E. 4</w:t>
      </w:r>
    </w:p>
    <w:p>
      <w:r>
        <w:t>La ricorrente afferma poi che la domanda della debitrice del 28 gennaio 1992, volta ad ottenere lo svincolo dei fondi dietro versamento BGE 120 III 89 S. 91 della somma in garanzia, sarebbe tardiva (oltre che abusiva), poiché il 3 giugno 1991 l'Ufficio ha pignorato le particelle già oggetto delle misure di sequestro. a) Il testo tedesco e italiano dell' art. 277 LEF , che merita la preferenza su quello francese più restrittivo ( DTF 106 III 133 , DTF 56 III 83 ), consente la sostituzione degli oggetti sequestrati - compresi i beni immobili ( DTF 116 III 40 consid. 3b) -, dietro una garanzia di pari valore, con la conseguenza ch'essi sono completamente sottratti al sequestro e affidati al debitore che può liberamente disporne, usarli, venderli o portarli all'estero ( DTF 116 III 40 consid. 3b e rinvii). Gli scopi di questa norma vanno ricercati nella natura dell'istituto del sequestro (v. DTF 116 III 40 consid. 3b e rinvii); la garanzia prestata in applicazione dell' art. 277 LEF non sostituisce i beni sequestrati ( DTF 116 III 40 consid. 3b): al creditore spetta unicamente il diritto di essere soddisfatto con la garanzia qualora gli oggetti non saranno più presenti al momento del pignoramento (sentenza citata). b) In concreto, risulta dagli accertamenti vincolanti della Corte cantonale che l'istanza di svincolo dei fondi è stata presentata il 28 gennaio 1992. A quel momento l'Ufficio aveva già operato il pignoramento (3 giugno 1991) nell'ambito della procedura di convalida del sequestro e la creditrice aveva già richiesto la vendita degli immobili (17 gennaio 1992). Si pone quindi il problema di sapere quali siano gli effetti del pignoramento sulla richiesta di svincolo degli immobili dietro versamento della somma di garanzia. Il sequestro è una misura conservativa di carattere eminentemente provvisorio; il pignoramento invece è una misura di esecuzione definitiva ( DTF 116 III 115 seg. consid. 3a e rinvii). Scopo del pignoramento è il pagamento di un credito; scopo del sequestro è garantire il pagamento di un credito (sentenza citata; v. inoltre AMONN, Grundriss des Schuldbetreibungs- und Konkursrechts, 5a edizione, pag. 399, n. 1 e 2 e rinvii). Di conseguenza, mentre i beni pignorati sono restituiti solo a seguito di pagamento, i beni sequestrati sono invece affidati, come si è visto, al debitore non appena fornisca una garanzia di pari valore ( art. 277 LEF ). Discende da queste considerazioni che l'istanza di svincolo dei beni sequestrati deve essere presentata prima che sia operato il pignoramento nella successiva procedura di esecuzione (in tal senso: JAEGER, nota 3 ad art. 277 con rinvio a DTF 30 I n. 32 pag. 195 segg.; BONNARD, Le séquestre d'après la loi fédérale sur la poursuite pour dettes et faillites, tesi, Losanna 1914, pag. 157 e e 159; secondo questo autore la BGE 120 III 89 S. 92 richiesta di svincolo può essere presentata in ogni tempo, ma prima della richiesta di pignoramento del creditore sequestrante). Ne risulta che, in concreto, il pignoramento delle particelle eseguito dall'Ufficio il 3 giugno 1991 (la domanda della creditrice porta la data del 15 aprile 1991) rende priva di oggetto l'istanza di svincolo del 28 gennaio 1992. Da ultimo, contrariamente a quanto sostiene la debitrice, poco importa che la procedura di stima si sia protratta per lungo tempo (il ritardo è in gran parte dovuto alle richieste delle parti e, in minor misura, alla mora dell'autorità cantonale nello statuire): il pignoramento definitivo paralizza ora il suo diritto di ottenere la liberazione dei beni dietro versamento della garanzia.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